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spacing w:line="240" w:lineRule="auto"/>
        <w:ind w:firstLine="0" w:firstLineChars="0"/>
        <w:rPr>
          <w:rFonts w:eastAsia="黑体" w:cs="Times New Roman"/>
        </w:rPr>
      </w:pPr>
      <w:bookmarkStart w:id="0" w:name="_Hlk102642274"/>
      <w:r>
        <w:rPr>
          <w:rFonts w:eastAsia="黑体" w:cs="Times New Roman"/>
        </w:rPr>
        <w:t>附件1：</w:t>
      </w:r>
    </w:p>
    <w:bookmarkEnd w:id="0"/>
    <w:p>
      <w:pPr>
        <w:snapToGrid w:val="0"/>
        <w:spacing w:line="240" w:lineRule="auto"/>
        <w:ind w:firstLine="0" w:firstLineChars="0"/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空气源热泵采暖“攀登者”活动（第一期）</w:t>
      </w:r>
      <w:bookmarkStart w:id="1" w:name="_Hlk99899315"/>
    </w:p>
    <w:p>
      <w:pPr>
        <w:snapToGrid w:val="0"/>
        <w:spacing w:after="240" w:line="240" w:lineRule="auto"/>
        <w:ind w:firstLine="0" w:firstLineChars="0"/>
        <w:jc w:val="center"/>
        <w:rPr>
          <w:rFonts w:ascii="方正小标宋简体" w:hAnsi="黑体" w:eastAsia="方正小标宋简体"/>
          <w:sz w:val="32"/>
        </w:rPr>
      </w:pPr>
      <w:bookmarkStart w:id="2" w:name="_Hlk102490465"/>
      <w:bookmarkStart w:id="3" w:name="_Hlk102642247"/>
      <w:r>
        <w:rPr>
          <w:rFonts w:hint="eastAsia" w:ascii="方正小标宋简体" w:hAnsi="黑体" w:eastAsia="方正小标宋简体"/>
          <w:sz w:val="32"/>
        </w:rPr>
        <w:t>应用场景情况</w:t>
      </w:r>
      <w:bookmarkEnd w:id="2"/>
      <w:r>
        <w:rPr>
          <w:rFonts w:hint="eastAsia" w:ascii="方正小标宋简体" w:hAnsi="黑体" w:eastAsia="方正小标宋简体"/>
          <w:sz w:val="32"/>
        </w:rPr>
        <w:t>及设备基本技术要求</w:t>
      </w:r>
      <w:bookmarkEnd w:id="1"/>
      <w:bookmarkEnd w:id="3"/>
    </w:p>
    <w:p>
      <w:pPr>
        <w:ind w:firstLine="48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一、应用场景情况简介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示范地点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四川省阿坝藏族羌族自治州阿坝县麦尔玛镇阿布洛村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示范地海拔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3500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示范地采暖季平均气压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670 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示范地采暖季平均空气密度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0.8 kg/m</w:t>
            </w:r>
            <w:r>
              <w:rPr>
                <w:rFonts w:eastAsia="仿宋" w:cs="Times New Roman"/>
                <w:sz w:val="22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示范地累年极端最低气温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hint="eastAsia" w:eastAsia="仿宋" w:cs="Times New Roman"/>
                <w:sz w:val="22"/>
              </w:rPr>
              <w:t>－</w:t>
            </w:r>
            <w:r>
              <w:rPr>
                <w:rFonts w:eastAsia="仿宋" w:cs="Times New Roman"/>
                <w:sz w:val="22"/>
              </w:rPr>
              <w:t>29.3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采暖示范类型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农宅采暖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农宅采暖设计热指标</w:t>
            </w:r>
          </w:p>
        </w:tc>
        <w:tc>
          <w:tcPr>
            <w:tcW w:w="3209" w:type="pct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150 W/m</w:t>
            </w:r>
            <w:r>
              <w:rPr>
                <w:rFonts w:eastAsia="仿宋" w:cs="Times New Roman"/>
                <w:sz w:val="2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农宅主要采暖房间与面积</w:t>
            </w:r>
          </w:p>
        </w:tc>
        <w:tc>
          <w:tcPr>
            <w:tcW w:w="3209" w:type="pct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客厅</w:t>
            </w:r>
            <w:r>
              <w:rPr>
                <w:rFonts w:hint="eastAsia" w:eastAsia="仿宋" w:cs="Times New Roman"/>
                <w:sz w:val="22"/>
              </w:rPr>
              <w:t>、卧室</w:t>
            </w:r>
            <w:r>
              <w:rPr>
                <w:rFonts w:eastAsia="仿宋" w:cs="Times New Roman"/>
                <w:sz w:val="22"/>
              </w:rPr>
              <w:t>/40</w:t>
            </w:r>
            <w:r>
              <w:rPr>
                <w:rFonts w:hint="eastAsia" w:eastAsia="仿宋" w:cs="Times New Roman"/>
                <w:sz w:val="22"/>
              </w:rPr>
              <w:t>～</w:t>
            </w:r>
            <w:r>
              <w:rPr>
                <w:rFonts w:eastAsia="仿宋" w:cs="Times New Roman"/>
                <w:sz w:val="22"/>
              </w:rPr>
              <w:t>60 m</w:t>
            </w:r>
            <w:r>
              <w:rPr>
                <w:rFonts w:eastAsia="仿宋" w:cs="Times New Roman"/>
                <w:sz w:val="2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农宅平均外电源容量</w:t>
            </w:r>
          </w:p>
        </w:tc>
        <w:tc>
          <w:tcPr>
            <w:tcW w:w="3209" w:type="pct"/>
          </w:tcPr>
          <w:p>
            <w:pPr>
              <w:ind w:firstLine="0" w:firstLineChars="0"/>
              <w:jc w:val="center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3 kW</w:t>
            </w:r>
          </w:p>
        </w:tc>
      </w:tr>
    </w:tbl>
    <w:p>
      <w:pPr>
        <w:spacing w:before="240"/>
        <w:ind w:firstLine="48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二、设备基本技术要求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1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示范设备类型</w:t>
            </w:r>
          </w:p>
        </w:tc>
        <w:tc>
          <w:tcPr>
            <w:tcW w:w="3209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空气源热泵热风机（含多联式、光伏驱动式等）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设备执行产品标准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《低环境空气源热泵热风机》（</w:t>
            </w:r>
            <w:r>
              <w:rPr>
                <w:rFonts w:hint="eastAsia" w:eastAsia="仿宋" w:cs="Times New Roman"/>
                <w:sz w:val="22"/>
              </w:rPr>
              <w:t>J</w:t>
            </w:r>
            <w:r>
              <w:rPr>
                <w:rFonts w:eastAsia="仿宋" w:cs="Times New Roman"/>
                <w:sz w:val="22"/>
              </w:rPr>
              <w:t>B/T</w:t>
            </w:r>
            <w:r>
              <w:rPr>
                <w:rFonts w:hint="eastAsia" w:eastAsia="仿宋" w:cs="Times New Roman"/>
                <w:sz w:val="22"/>
              </w:rPr>
              <w:t>　</w:t>
            </w:r>
            <w:r>
              <w:rPr>
                <w:rFonts w:eastAsia="仿宋" w:cs="Times New Roman"/>
                <w:sz w:val="22"/>
              </w:rPr>
              <w:t>13573</w:t>
            </w:r>
            <w:r>
              <w:rPr>
                <w:rFonts w:hint="eastAsia" w:eastAsia="仿宋" w:cs="Times New Roman"/>
                <w:sz w:val="22"/>
              </w:rPr>
              <w:t>－</w:t>
            </w:r>
            <w:r>
              <w:rPr>
                <w:rFonts w:eastAsia="仿宋" w:cs="Times New Roman"/>
                <w:sz w:val="22"/>
              </w:rPr>
              <w:t>2018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设备名义制热量</w:t>
            </w:r>
          </w:p>
        </w:tc>
        <w:tc>
          <w:tcPr>
            <w:tcW w:w="3209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eastAsia="仿宋" w:cs="Times New Roman"/>
                <w:sz w:val="22"/>
              </w:rPr>
              <w:t>4k</w:t>
            </w:r>
            <w:r>
              <w:rPr>
                <w:rFonts w:eastAsia="仿宋" w:cs="Times New Roman"/>
                <w:sz w:val="22"/>
              </w:rPr>
              <w:t>W</w:t>
            </w:r>
            <w:r>
              <w:rPr>
                <w:rFonts w:hint="eastAsia" w:eastAsia="仿宋" w:cs="Times New Roman"/>
                <w:sz w:val="22"/>
              </w:rPr>
              <w:t>、6k</w:t>
            </w:r>
            <w:r>
              <w:rPr>
                <w:rFonts w:eastAsia="仿宋" w:cs="Times New Roman"/>
                <w:sz w:val="22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运行数据采集</w:t>
            </w:r>
          </w:p>
        </w:tc>
        <w:tc>
          <w:tcPr>
            <w:tcW w:w="3209" w:type="pct"/>
            <w:vAlign w:val="center"/>
          </w:tcPr>
          <w:p>
            <w:pPr>
              <w:spacing w:line="240" w:lineRule="auto"/>
              <w:ind w:left="220" w:hanging="220" w:hangingChars="100"/>
              <w:rPr>
                <w:rFonts w:eastAsia="仿宋" w:cs="Times New Roman"/>
                <w:sz w:val="22"/>
              </w:rPr>
            </w:pPr>
            <w:r>
              <w:rPr>
                <w:rFonts w:hint="eastAsia" w:eastAsia="仿宋" w:cs="Times New Roman"/>
                <w:sz w:val="22"/>
              </w:rPr>
              <w:t>1</w:t>
            </w:r>
            <w:r>
              <w:rPr>
                <w:rFonts w:eastAsia="仿宋" w:cs="Times New Roman"/>
                <w:sz w:val="22"/>
              </w:rPr>
              <w:t>.</w:t>
            </w:r>
            <w:r>
              <w:rPr>
                <w:rFonts w:hint="eastAsia" w:ascii="仿宋" w:hAnsi="仿宋" w:eastAsia="仿宋"/>
                <w:sz w:val="22"/>
              </w:rPr>
              <w:t>采集数据项配置及要求</w:t>
            </w:r>
            <w:r>
              <w:rPr>
                <w:rFonts w:hint="eastAsia" w:ascii="黑体" w:hAnsi="黑体" w:eastAsia="黑体"/>
                <w:sz w:val="22"/>
              </w:rPr>
              <w:t>应</w:t>
            </w:r>
            <w:r>
              <w:rPr>
                <w:rFonts w:hint="eastAsia" w:ascii="仿宋" w:hAnsi="仿宋" w:eastAsia="仿宋"/>
                <w:sz w:val="22"/>
              </w:rPr>
              <w:t>符合《空气源热泵热风机智能化运行技术支持系统技术条件》</w:t>
            </w:r>
            <w:r>
              <w:rPr>
                <w:rFonts w:hint="eastAsia" w:eastAsia="仿宋" w:cs="Times New Roman"/>
                <w:sz w:val="22"/>
              </w:rPr>
              <w:t>（T</w:t>
            </w:r>
            <w:r>
              <w:rPr>
                <w:rFonts w:eastAsia="仿宋" w:cs="Times New Roman"/>
                <w:sz w:val="22"/>
              </w:rPr>
              <w:t>/</w:t>
            </w:r>
            <w:r>
              <w:rPr>
                <w:rFonts w:hint="eastAsia" w:eastAsia="仿宋" w:cs="Times New Roman"/>
                <w:sz w:val="22"/>
              </w:rPr>
              <w:t>CDHA　6－2021）附录B的规定。</w:t>
            </w:r>
          </w:p>
          <w:p>
            <w:pPr>
              <w:ind w:left="220" w:hanging="220" w:hangingChars="100"/>
              <w:rPr>
                <w:rFonts w:eastAsia="仿宋" w:cs="Times New Roman"/>
                <w:sz w:val="22"/>
              </w:rPr>
            </w:pPr>
            <w:r>
              <w:rPr>
                <w:rFonts w:eastAsia="仿宋" w:cs="Times New Roman"/>
                <w:sz w:val="22"/>
              </w:rPr>
              <w:t>2.</w:t>
            </w:r>
            <w:r>
              <w:rPr>
                <w:rFonts w:hint="eastAsia" w:eastAsia="仿宋" w:cs="Times New Roman"/>
                <w:sz w:val="22"/>
              </w:rPr>
              <w:t>数据格式</w:t>
            </w:r>
            <w:r>
              <w:rPr>
                <w:rFonts w:hint="eastAsia" w:ascii="黑体" w:hAnsi="黑体" w:eastAsia="黑体"/>
                <w:sz w:val="22"/>
              </w:rPr>
              <w:t>宜</w:t>
            </w:r>
            <w:r>
              <w:rPr>
                <w:rFonts w:hint="eastAsia" w:eastAsia="仿宋" w:cs="Times New Roman"/>
                <w:sz w:val="22"/>
              </w:rPr>
              <w:t>符合T</w:t>
            </w:r>
            <w:r>
              <w:rPr>
                <w:rFonts w:eastAsia="仿宋" w:cs="Times New Roman"/>
                <w:sz w:val="22"/>
              </w:rPr>
              <w:t>/</w:t>
            </w:r>
            <w:r>
              <w:rPr>
                <w:rFonts w:hint="eastAsia" w:eastAsia="仿宋" w:cs="Times New Roman"/>
                <w:sz w:val="22"/>
              </w:rPr>
              <w:t>C</w:t>
            </w:r>
            <w:bookmarkStart w:id="4" w:name="_GoBack"/>
            <w:bookmarkEnd w:id="4"/>
            <w:r>
              <w:rPr>
                <w:rFonts w:hint="eastAsia" w:eastAsia="仿宋" w:cs="Times New Roman"/>
                <w:sz w:val="22"/>
              </w:rPr>
              <w:t>DHA　6－2021附录E的规定。</w:t>
            </w:r>
          </w:p>
          <w:p>
            <w:pPr>
              <w:spacing w:line="240" w:lineRule="auto"/>
              <w:ind w:left="220" w:hanging="220" w:hangingChars="100"/>
              <w:rPr>
                <w:rFonts w:eastAsia="仿宋" w:cs="Times New Roman"/>
                <w:sz w:val="22"/>
              </w:rPr>
            </w:pPr>
            <w:r>
              <w:rPr>
                <w:rFonts w:hint="eastAsia" w:eastAsia="仿宋" w:cs="Times New Roman"/>
                <w:sz w:val="22"/>
              </w:rPr>
              <w:t>3</w:t>
            </w:r>
            <w:r>
              <w:rPr>
                <w:rFonts w:eastAsia="仿宋" w:cs="Times New Roman"/>
                <w:sz w:val="22"/>
              </w:rPr>
              <w:t>.</w:t>
            </w:r>
            <w:r>
              <w:rPr>
                <w:rFonts w:hint="eastAsia" w:ascii="仿宋" w:hAnsi="仿宋" w:eastAsia="仿宋"/>
                <w:sz w:val="22"/>
              </w:rPr>
              <w:t>采</w:t>
            </w:r>
            <w:r>
              <w:rPr>
                <w:rFonts w:hint="eastAsia" w:eastAsia="仿宋" w:cs="Times New Roman"/>
                <w:sz w:val="22"/>
              </w:rPr>
              <w:t>集数据</w:t>
            </w:r>
            <w:r>
              <w:rPr>
                <w:rFonts w:hint="eastAsia" w:ascii="黑体" w:hAnsi="黑体" w:eastAsia="黑体"/>
                <w:sz w:val="22"/>
              </w:rPr>
              <w:t>应</w:t>
            </w:r>
            <w:r>
              <w:rPr>
                <w:rFonts w:hint="eastAsia" w:eastAsia="仿宋" w:cs="Times New Roman"/>
                <w:sz w:val="22"/>
              </w:rPr>
              <w:t>实现本地存储（如用U盘、S</w:t>
            </w:r>
            <w:r>
              <w:rPr>
                <w:rFonts w:eastAsia="仿宋" w:cs="Times New Roman"/>
                <w:sz w:val="22"/>
              </w:rPr>
              <w:t>D</w:t>
            </w:r>
            <w:r>
              <w:rPr>
                <w:rFonts w:hint="eastAsia" w:eastAsia="仿宋" w:cs="Times New Roman"/>
                <w:sz w:val="22"/>
              </w:rPr>
              <w:t>卡存储），同时</w:t>
            </w:r>
            <w:r>
              <w:rPr>
                <w:rFonts w:hint="eastAsia" w:ascii="黑体" w:hAnsi="黑体" w:eastAsia="黑体"/>
                <w:sz w:val="22"/>
              </w:rPr>
              <w:t>宜</w:t>
            </w:r>
            <w:r>
              <w:rPr>
                <w:rFonts w:hint="eastAsia" w:eastAsia="仿宋" w:cs="Times New Roman"/>
                <w:sz w:val="22"/>
              </w:rPr>
              <w:t>实现远程无线传输（如G</w:t>
            </w:r>
            <w:r>
              <w:rPr>
                <w:rFonts w:eastAsia="仿宋" w:cs="Times New Roman"/>
                <w:sz w:val="22"/>
              </w:rPr>
              <w:t>PRS</w:t>
            </w:r>
            <w:r>
              <w:rPr>
                <w:rFonts w:hint="eastAsia" w:eastAsia="仿宋" w:cs="Times New Roman"/>
                <w:sz w:val="22"/>
              </w:rPr>
              <w:t>、4</w:t>
            </w:r>
            <w:r>
              <w:rPr>
                <w:rFonts w:eastAsia="仿宋" w:cs="Times New Roman"/>
                <w:sz w:val="22"/>
              </w:rPr>
              <w:t>G</w:t>
            </w:r>
            <w:r>
              <w:rPr>
                <w:rFonts w:hint="eastAsia" w:eastAsia="仿宋" w:cs="Times New Roman"/>
                <w:sz w:val="22"/>
              </w:rPr>
              <w:t>等）。</w:t>
            </w:r>
          </w:p>
          <w:p>
            <w:pPr>
              <w:spacing w:line="240" w:lineRule="auto"/>
              <w:ind w:left="220" w:hanging="220" w:hanging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eastAsia="仿宋" w:cs="Times New Roman"/>
                <w:sz w:val="22"/>
              </w:rPr>
              <w:t>4</w:t>
            </w:r>
            <w:r>
              <w:rPr>
                <w:rFonts w:eastAsia="仿宋" w:cs="Times New Roman"/>
                <w:sz w:val="22"/>
              </w:rPr>
              <w:t>.</w:t>
            </w:r>
            <w:r>
              <w:rPr>
                <w:rFonts w:hint="eastAsia" w:ascii="仿宋" w:hAnsi="仿宋" w:eastAsia="仿宋"/>
                <w:sz w:val="22"/>
              </w:rPr>
              <w:t>设备运行数据采集、存储功能调试</w:t>
            </w:r>
            <w:r>
              <w:rPr>
                <w:rFonts w:hint="eastAsia" w:ascii="黑体" w:hAnsi="黑体" w:eastAsia="黑体"/>
                <w:sz w:val="22"/>
              </w:rPr>
              <w:t>可</w:t>
            </w:r>
            <w:r>
              <w:rPr>
                <w:rFonts w:hint="eastAsia" w:ascii="仿宋" w:hAnsi="仿宋" w:eastAsia="仿宋"/>
                <w:sz w:val="22"/>
              </w:rPr>
              <w:t>参考《空气源热泵热风机智能化运行技术支持系统工程技术标准》</w:t>
            </w:r>
            <w:r>
              <w:rPr>
                <w:rFonts w:hint="eastAsia" w:eastAsia="仿宋" w:cs="Times New Roman"/>
                <w:sz w:val="22"/>
              </w:rPr>
              <w:t>（T</w:t>
            </w:r>
            <w:r>
              <w:rPr>
                <w:rFonts w:eastAsia="仿宋" w:cs="Times New Roman"/>
                <w:sz w:val="22"/>
              </w:rPr>
              <w:t>/</w:t>
            </w:r>
            <w:r>
              <w:rPr>
                <w:rFonts w:hint="eastAsia" w:eastAsia="仿宋" w:cs="Times New Roman"/>
                <w:sz w:val="22"/>
              </w:rPr>
              <w:t>CDHA　5</w:t>
            </w:r>
            <w:r>
              <w:rPr>
                <w:rFonts w:eastAsia="仿宋" w:cs="Times New Roman"/>
                <w:sz w:val="22"/>
              </w:rPr>
              <w:t>02</w:t>
            </w:r>
            <w:r>
              <w:rPr>
                <w:rFonts w:hint="eastAsia" w:eastAsia="仿宋" w:cs="Times New Roman"/>
                <w:sz w:val="22"/>
              </w:rPr>
              <w:t>－2021）。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风机转速修正</w:t>
            </w:r>
          </w:p>
        </w:tc>
        <w:tc>
          <w:tcPr>
            <w:tcW w:w="3209" w:type="pct"/>
          </w:tcPr>
          <w:p>
            <w:pPr>
              <w:spacing w:line="240" w:lineRule="auto"/>
              <w:ind w:firstLine="0" w:firstLineChars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高原地区气压较低，风机在同等转速条件下空气质量流量较标准大气压时有显著下降。为保证冷凝器、蒸发器等在高原地区换热量达到标准大气压工况设计值，</w:t>
            </w:r>
            <w:r>
              <w:rPr>
                <w:rFonts w:hint="eastAsia" w:ascii="黑体" w:hAnsi="黑体" w:eastAsia="黑体"/>
                <w:sz w:val="22"/>
              </w:rPr>
              <w:t>应</w:t>
            </w:r>
            <w:r>
              <w:rPr>
                <w:rFonts w:hint="eastAsia" w:ascii="仿宋" w:hAnsi="仿宋" w:eastAsia="仿宋"/>
                <w:sz w:val="22"/>
              </w:rPr>
              <w:t>对风机转速或体积风量进行高原修正。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高原防护及相关修正</w:t>
            </w:r>
          </w:p>
        </w:tc>
        <w:tc>
          <w:tcPr>
            <w:tcW w:w="3209" w:type="pct"/>
          </w:tcPr>
          <w:p>
            <w:pPr>
              <w:spacing w:line="240" w:lineRule="auto"/>
              <w:ind w:firstLine="0" w:firstLineChars="0"/>
              <w:rPr>
                <w:rFonts w:eastAsia="仿宋" w:cs="Times New Roman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宜</w:t>
            </w:r>
            <w:r>
              <w:rPr>
                <w:rFonts w:hint="eastAsia" w:eastAsia="仿宋" w:cs="Times New Roman"/>
                <w:sz w:val="22"/>
              </w:rPr>
              <w:t>根据《特殊环境条件　高原电工电子产品》（GB</w:t>
            </w:r>
            <w:r>
              <w:rPr>
                <w:rFonts w:eastAsia="仿宋" w:cs="Times New Roman"/>
                <w:sz w:val="22"/>
              </w:rPr>
              <w:t>/</w:t>
            </w:r>
            <w:r>
              <w:rPr>
                <w:rFonts w:hint="eastAsia" w:eastAsia="仿宋" w:cs="Times New Roman"/>
                <w:sz w:val="22"/>
              </w:rPr>
              <w:t>T　20626）所有部分的要求采取相应防护或修正措施，以确保设备在高原地区安全、正常使用。</w:t>
            </w:r>
          </w:p>
        </w:tc>
      </w:tr>
    </w:tbl>
    <w:p>
      <w:pPr>
        <w:widowControl/>
        <w:snapToGrid w:val="0"/>
        <w:spacing w:line="240" w:lineRule="auto"/>
        <w:ind w:firstLine="0" w:firstLineChars="0"/>
        <w:jc w:val="left"/>
        <w:rPr>
          <w:rFonts w:ascii="仿宋" w:hAnsi="仿宋" w:eastAsia="仿宋"/>
          <w:sz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6750777"/>
      <w:docPartObj>
        <w:docPartGallery w:val="autotext"/>
      </w:docPartObj>
    </w:sdtPr>
    <w:sdtEndPr>
      <w:rPr>
        <w:sz w:val="21"/>
      </w:rPr>
    </w:sdtEndPr>
    <w:sdtContent>
      <w:p>
        <w:pPr>
          <w:pStyle w:val="9"/>
          <w:ind w:firstLine="360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24D"/>
    <w:multiLevelType w:val="multilevel"/>
    <w:tmpl w:val="30F0124D"/>
    <w:lvl w:ilvl="0" w:tentative="0">
      <w:start w:val="6"/>
      <w:numFmt w:val="decimal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1984" w:hanging="19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F1"/>
    <w:rsid w:val="0001655E"/>
    <w:rsid w:val="000234A7"/>
    <w:rsid w:val="00024271"/>
    <w:rsid w:val="000318BF"/>
    <w:rsid w:val="0004382E"/>
    <w:rsid w:val="000630AE"/>
    <w:rsid w:val="00070510"/>
    <w:rsid w:val="00076296"/>
    <w:rsid w:val="000871ED"/>
    <w:rsid w:val="000A1033"/>
    <w:rsid w:val="000A181B"/>
    <w:rsid w:val="000A41DA"/>
    <w:rsid w:val="000D29EA"/>
    <w:rsid w:val="000D2D11"/>
    <w:rsid w:val="000E170E"/>
    <w:rsid w:val="000F6C55"/>
    <w:rsid w:val="000F7807"/>
    <w:rsid w:val="00111426"/>
    <w:rsid w:val="0012502F"/>
    <w:rsid w:val="001259F4"/>
    <w:rsid w:val="00143D40"/>
    <w:rsid w:val="001460D9"/>
    <w:rsid w:val="00150F7C"/>
    <w:rsid w:val="001515BA"/>
    <w:rsid w:val="00163DD2"/>
    <w:rsid w:val="00187B74"/>
    <w:rsid w:val="00192DDC"/>
    <w:rsid w:val="00194412"/>
    <w:rsid w:val="00195E50"/>
    <w:rsid w:val="001B34BB"/>
    <w:rsid w:val="001B6995"/>
    <w:rsid w:val="001B707F"/>
    <w:rsid w:val="001C357F"/>
    <w:rsid w:val="001E635C"/>
    <w:rsid w:val="002206D1"/>
    <w:rsid w:val="00224456"/>
    <w:rsid w:val="00232CC7"/>
    <w:rsid w:val="00242C13"/>
    <w:rsid w:val="00253B8C"/>
    <w:rsid w:val="002640AF"/>
    <w:rsid w:val="0026725A"/>
    <w:rsid w:val="00293BAE"/>
    <w:rsid w:val="002B06B2"/>
    <w:rsid w:val="002B6239"/>
    <w:rsid w:val="002C4EDF"/>
    <w:rsid w:val="002D55A4"/>
    <w:rsid w:val="002D5F58"/>
    <w:rsid w:val="002D6A5A"/>
    <w:rsid w:val="002E09C2"/>
    <w:rsid w:val="002E37F9"/>
    <w:rsid w:val="002F05FB"/>
    <w:rsid w:val="002F5169"/>
    <w:rsid w:val="003169F5"/>
    <w:rsid w:val="00316B07"/>
    <w:rsid w:val="00330D4F"/>
    <w:rsid w:val="00345B49"/>
    <w:rsid w:val="00347D7F"/>
    <w:rsid w:val="00353A99"/>
    <w:rsid w:val="003966C3"/>
    <w:rsid w:val="003D0D1D"/>
    <w:rsid w:val="003F4BF0"/>
    <w:rsid w:val="003F69CA"/>
    <w:rsid w:val="0040529F"/>
    <w:rsid w:val="00410462"/>
    <w:rsid w:val="004531D1"/>
    <w:rsid w:val="004570EF"/>
    <w:rsid w:val="0046137B"/>
    <w:rsid w:val="0047450A"/>
    <w:rsid w:val="00484CA3"/>
    <w:rsid w:val="0049353E"/>
    <w:rsid w:val="004B0DDD"/>
    <w:rsid w:val="004D3B47"/>
    <w:rsid w:val="004F3967"/>
    <w:rsid w:val="00507927"/>
    <w:rsid w:val="00515817"/>
    <w:rsid w:val="005158C5"/>
    <w:rsid w:val="00536170"/>
    <w:rsid w:val="0055037D"/>
    <w:rsid w:val="00565892"/>
    <w:rsid w:val="0056707F"/>
    <w:rsid w:val="0058712E"/>
    <w:rsid w:val="005A1B2C"/>
    <w:rsid w:val="005C06B8"/>
    <w:rsid w:val="005C0DEE"/>
    <w:rsid w:val="005C597B"/>
    <w:rsid w:val="005D2477"/>
    <w:rsid w:val="005D769F"/>
    <w:rsid w:val="005E1F90"/>
    <w:rsid w:val="005E60BE"/>
    <w:rsid w:val="005F2B23"/>
    <w:rsid w:val="005F3576"/>
    <w:rsid w:val="006012F0"/>
    <w:rsid w:val="006054C1"/>
    <w:rsid w:val="006078CA"/>
    <w:rsid w:val="006251C4"/>
    <w:rsid w:val="00635190"/>
    <w:rsid w:val="00670ED5"/>
    <w:rsid w:val="006746F4"/>
    <w:rsid w:val="0068130D"/>
    <w:rsid w:val="00681483"/>
    <w:rsid w:val="00684AF1"/>
    <w:rsid w:val="006A047E"/>
    <w:rsid w:val="006B7105"/>
    <w:rsid w:val="006C2442"/>
    <w:rsid w:val="006C6FEE"/>
    <w:rsid w:val="006D157A"/>
    <w:rsid w:val="006D4506"/>
    <w:rsid w:val="006E460F"/>
    <w:rsid w:val="006F16B6"/>
    <w:rsid w:val="00712885"/>
    <w:rsid w:val="0071625F"/>
    <w:rsid w:val="007231B3"/>
    <w:rsid w:val="007366CC"/>
    <w:rsid w:val="00754F43"/>
    <w:rsid w:val="007652A9"/>
    <w:rsid w:val="00766202"/>
    <w:rsid w:val="00772188"/>
    <w:rsid w:val="0078506C"/>
    <w:rsid w:val="00792EE6"/>
    <w:rsid w:val="007D2B63"/>
    <w:rsid w:val="007E5A57"/>
    <w:rsid w:val="007E7D4A"/>
    <w:rsid w:val="00800FA3"/>
    <w:rsid w:val="00801833"/>
    <w:rsid w:val="00803C8E"/>
    <w:rsid w:val="0080786D"/>
    <w:rsid w:val="00823A66"/>
    <w:rsid w:val="00833092"/>
    <w:rsid w:val="00861764"/>
    <w:rsid w:val="00866196"/>
    <w:rsid w:val="00883F6F"/>
    <w:rsid w:val="008850BF"/>
    <w:rsid w:val="0089677E"/>
    <w:rsid w:val="008D4F65"/>
    <w:rsid w:val="008F7743"/>
    <w:rsid w:val="008F7CD2"/>
    <w:rsid w:val="009136AA"/>
    <w:rsid w:val="00920C41"/>
    <w:rsid w:val="00921F34"/>
    <w:rsid w:val="0093077F"/>
    <w:rsid w:val="00946E0C"/>
    <w:rsid w:val="009644D5"/>
    <w:rsid w:val="009679AB"/>
    <w:rsid w:val="0099121F"/>
    <w:rsid w:val="00992A33"/>
    <w:rsid w:val="00997ADE"/>
    <w:rsid w:val="009B5238"/>
    <w:rsid w:val="009C10FB"/>
    <w:rsid w:val="009F106A"/>
    <w:rsid w:val="00A01DD9"/>
    <w:rsid w:val="00A353B8"/>
    <w:rsid w:val="00A37964"/>
    <w:rsid w:val="00A47A59"/>
    <w:rsid w:val="00A55D28"/>
    <w:rsid w:val="00A57EF9"/>
    <w:rsid w:val="00A70A88"/>
    <w:rsid w:val="00A7384C"/>
    <w:rsid w:val="00AB118E"/>
    <w:rsid w:val="00AC4DA2"/>
    <w:rsid w:val="00AE4DA0"/>
    <w:rsid w:val="00B0774C"/>
    <w:rsid w:val="00B1281D"/>
    <w:rsid w:val="00B20E1F"/>
    <w:rsid w:val="00B4247C"/>
    <w:rsid w:val="00B501EF"/>
    <w:rsid w:val="00B52870"/>
    <w:rsid w:val="00B57A8E"/>
    <w:rsid w:val="00B623CE"/>
    <w:rsid w:val="00B632B8"/>
    <w:rsid w:val="00B64C63"/>
    <w:rsid w:val="00B82248"/>
    <w:rsid w:val="00BA3A09"/>
    <w:rsid w:val="00BB53EB"/>
    <w:rsid w:val="00BB6E46"/>
    <w:rsid w:val="00BD0393"/>
    <w:rsid w:val="00BF51F4"/>
    <w:rsid w:val="00C07995"/>
    <w:rsid w:val="00C117B1"/>
    <w:rsid w:val="00C15A82"/>
    <w:rsid w:val="00C20BE7"/>
    <w:rsid w:val="00C547AD"/>
    <w:rsid w:val="00C57947"/>
    <w:rsid w:val="00C63259"/>
    <w:rsid w:val="00C63769"/>
    <w:rsid w:val="00C73638"/>
    <w:rsid w:val="00C841AF"/>
    <w:rsid w:val="00C86EE1"/>
    <w:rsid w:val="00CA647E"/>
    <w:rsid w:val="00CD10C6"/>
    <w:rsid w:val="00CE3158"/>
    <w:rsid w:val="00CF3409"/>
    <w:rsid w:val="00D02EF5"/>
    <w:rsid w:val="00D02F5C"/>
    <w:rsid w:val="00D11223"/>
    <w:rsid w:val="00D11DFA"/>
    <w:rsid w:val="00D23032"/>
    <w:rsid w:val="00D3594C"/>
    <w:rsid w:val="00D37FED"/>
    <w:rsid w:val="00D45D04"/>
    <w:rsid w:val="00D664C0"/>
    <w:rsid w:val="00D76742"/>
    <w:rsid w:val="00D86278"/>
    <w:rsid w:val="00D911E4"/>
    <w:rsid w:val="00D9327D"/>
    <w:rsid w:val="00D94982"/>
    <w:rsid w:val="00DA488C"/>
    <w:rsid w:val="00DE5150"/>
    <w:rsid w:val="00DF4737"/>
    <w:rsid w:val="00E03CBC"/>
    <w:rsid w:val="00E05E2E"/>
    <w:rsid w:val="00E07457"/>
    <w:rsid w:val="00E31747"/>
    <w:rsid w:val="00E557E7"/>
    <w:rsid w:val="00E61F54"/>
    <w:rsid w:val="00E719C9"/>
    <w:rsid w:val="00E7542C"/>
    <w:rsid w:val="00E77F37"/>
    <w:rsid w:val="00E96FD3"/>
    <w:rsid w:val="00EA1C83"/>
    <w:rsid w:val="00EB124C"/>
    <w:rsid w:val="00EB276A"/>
    <w:rsid w:val="00EC4BCF"/>
    <w:rsid w:val="00ED4A85"/>
    <w:rsid w:val="00EF1914"/>
    <w:rsid w:val="00F216B2"/>
    <w:rsid w:val="00F26246"/>
    <w:rsid w:val="00F57681"/>
    <w:rsid w:val="00F95DF0"/>
    <w:rsid w:val="00FA7710"/>
    <w:rsid w:val="00FB0C98"/>
    <w:rsid w:val="00FB0EC0"/>
    <w:rsid w:val="00FC3958"/>
    <w:rsid w:val="00FC3E8F"/>
    <w:rsid w:val="00FD616D"/>
    <w:rsid w:val="00FE2152"/>
    <w:rsid w:val="00FF3087"/>
    <w:rsid w:val="0A194F22"/>
    <w:rsid w:val="1AB92FC1"/>
    <w:rsid w:val="38C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semiHidden="0" w:name="heading 3"/>
    <w:lsdException w:qFormat="1" w:uiPriority="9" w:semiHidden="0" w:name="heading 4"/>
    <w:lsdException w:uiPriority="9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9"/>
    <w:pPr>
      <w:numPr>
        <w:ilvl w:val="0"/>
        <w:numId w:val="1"/>
      </w:numPr>
      <w:ind w:firstLineChars="0"/>
      <w:outlineLvl w:val="0"/>
    </w:pPr>
    <w:rPr>
      <w:b/>
      <w:sz w:val="32"/>
    </w:rPr>
  </w:style>
  <w:style w:type="paragraph" w:styleId="4">
    <w:name w:val="heading 2"/>
    <w:basedOn w:val="2"/>
    <w:next w:val="1"/>
    <w:link w:val="16"/>
    <w:unhideWhenUsed/>
    <w:qFormat/>
    <w:uiPriority w:val="9"/>
    <w:pPr>
      <w:numPr>
        <w:ilvl w:val="1"/>
      </w:numPr>
      <w:outlineLvl w:val="1"/>
    </w:pPr>
    <w:rPr>
      <w:sz w:val="28"/>
      <w:szCs w:val="30"/>
    </w:rPr>
  </w:style>
  <w:style w:type="paragraph" w:styleId="5">
    <w:name w:val="heading 3"/>
    <w:basedOn w:val="4"/>
    <w:next w:val="1"/>
    <w:link w:val="17"/>
    <w:unhideWhenUsed/>
    <w:uiPriority w:val="9"/>
    <w:pPr>
      <w:numPr>
        <w:ilvl w:val="2"/>
      </w:numPr>
      <w:outlineLvl w:val="2"/>
    </w:pPr>
    <w:rPr>
      <w:sz w:val="24"/>
    </w:rPr>
  </w:style>
  <w:style w:type="paragraph" w:styleId="6">
    <w:name w:val="heading 4"/>
    <w:basedOn w:val="5"/>
    <w:next w:val="1"/>
    <w:link w:val="18"/>
    <w:unhideWhenUsed/>
    <w:qFormat/>
    <w:uiPriority w:val="9"/>
    <w:pPr>
      <w:numPr>
        <w:ilvl w:val="3"/>
      </w:numPr>
      <w:outlineLvl w:val="3"/>
    </w:pPr>
  </w:style>
  <w:style w:type="paragraph" w:styleId="7">
    <w:name w:val="heading 5"/>
    <w:basedOn w:val="6"/>
    <w:next w:val="1"/>
    <w:link w:val="19"/>
    <w:unhideWhenUsed/>
    <w:uiPriority w:val="9"/>
    <w:pPr>
      <w:numPr>
        <w:ilvl w:val="4"/>
      </w:numPr>
      <w:outlineLvl w:val="4"/>
    </w:p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8">
    <w:name w:val="Balloon Text"/>
    <w:basedOn w:val="1"/>
    <w:link w:val="2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标题 1 字符"/>
    <w:basedOn w:val="13"/>
    <w:link w:val="2"/>
    <w:uiPriority w:val="9"/>
    <w:rPr>
      <w:b/>
      <w:sz w:val="32"/>
    </w:rPr>
  </w:style>
  <w:style w:type="character" w:customStyle="1" w:styleId="16">
    <w:name w:val="标题 2 字符"/>
    <w:basedOn w:val="13"/>
    <w:link w:val="4"/>
    <w:uiPriority w:val="9"/>
    <w:rPr>
      <w:b/>
      <w:sz w:val="28"/>
      <w:szCs w:val="30"/>
    </w:rPr>
  </w:style>
  <w:style w:type="character" w:customStyle="1" w:styleId="17">
    <w:name w:val="标题 3 字符"/>
    <w:basedOn w:val="13"/>
    <w:link w:val="5"/>
    <w:uiPriority w:val="9"/>
    <w:rPr>
      <w:b/>
      <w:szCs w:val="30"/>
    </w:rPr>
  </w:style>
  <w:style w:type="character" w:customStyle="1" w:styleId="18">
    <w:name w:val="标题 4 字符"/>
    <w:basedOn w:val="13"/>
    <w:link w:val="6"/>
    <w:uiPriority w:val="9"/>
    <w:rPr>
      <w:b/>
      <w:szCs w:val="30"/>
    </w:rPr>
  </w:style>
  <w:style w:type="character" w:customStyle="1" w:styleId="19">
    <w:name w:val="标题 5 字符"/>
    <w:basedOn w:val="13"/>
    <w:link w:val="7"/>
    <w:qFormat/>
    <w:uiPriority w:val="9"/>
    <w:rPr>
      <w:b/>
      <w:szCs w:val="30"/>
    </w:rPr>
  </w:style>
  <w:style w:type="paragraph" w:customStyle="1" w:styleId="20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1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2">
    <w:name w:val="页眉 字符"/>
    <w:basedOn w:val="13"/>
    <w:link w:val="10"/>
    <w:uiPriority w:val="99"/>
    <w:rPr>
      <w:sz w:val="18"/>
      <w:szCs w:val="18"/>
    </w:rPr>
  </w:style>
  <w:style w:type="character" w:customStyle="1" w:styleId="23">
    <w:name w:val="批注框文本 字符"/>
    <w:basedOn w:val="13"/>
    <w:link w:val="8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0A3EA-5799-42FB-92CC-2FCF9BC2E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392</Words>
  <Characters>2237</Characters>
  <Lines>18</Lines>
  <Paragraphs>5</Paragraphs>
  <TotalTime>37</TotalTime>
  <ScaleCrop>false</ScaleCrop>
  <LinksUpToDate>false</LinksUpToDate>
  <CharactersWithSpaces>2624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2022-06-30T09:58:00Z</dcterms:created>
  <dc:creator>thinkpad</dc:creator>
  <cp:lastModifiedBy>卖萌可耻</cp:lastModifiedBy>
  <cp:lastPrinted>2022-05-06T12:19:00Z</cp:lastPrinted>
  <dcterms:modified xsi:type="dcterms:W3CDTF">2022-07-01T02:53:12Z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